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CellSpacing w:w="15" w:type="dxa"/>
        <w:shd w:val="clear" w:color="auto" w:fill="FFFFFF"/>
        <w:tblCellMar>
          <w:left w:w="0" w:type="dxa"/>
          <w:right w:w="0" w:type="dxa"/>
        </w:tblCellMar>
        <w:tblLook w:val="04A0" w:firstRow="1" w:lastRow="0" w:firstColumn="1" w:lastColumn="0" w:noHBand="0" w:noVBand="1"/>
      </w:tblPr>
      <w:tblGrid>
        <w:gridCol w:w="9900"/>
      </w:tblGrid>
      <w:tr w:rsidR="00D91036" w:rsidRPr="00D91036" w:rsidTr="00D91036">
        <w:trPr>
          <w:tblCellSpacing w:w="15" w:type="dxa"/>
        </w:trPr>
        <w:tc>
          <w:tcPr>
            <w:tcW w:w="0" w:type="auto"/>
            <w:shd w:val="clear" w:color="auto" w:fill="FFFFFF"/>
            <w:tcMar>
              <w:top w:w="0" w:type="dxa"/>
              <w:left w:w="150" w:type="dxa"/>
              <w:bottom w:w="0" w:type="dxa"/>
              <w:right w:w="150" w:type="dxa"/>
            </w:tcMar>
            <w:vAlign w:val="center"/>
            <w:hideMark/>
          </w:tcPr>
          <w:p w:rsidR="00D91036" w:rsidRPr="00D91036" w:rsidRDefault="00D91036" w:rsidP="00D91036">
            <w:pPr>
              <w:jc w:val="center"/>
              <w:rPr>
                <w:rFonts w:eastAsia="Times New Roman"/>
                <w:b/>
                <w:bCs/>
                <w:color w:val="393939"/>
              </w:rPr>
            </w:pPr>
            <w:r>
              <w:rPr>
                <w:rFonts w:eastAsia="Times New Roman"/>
                <w:b/>
                <w:bCs/>
                <w:color w:val="393939"/>
              </w:rPr>
              <w:t>Đối tượng ưu tiên</w:t>
            </w:r>
          </w:p>
        </w:tc>
      </w:tr>
      <w:tr w:rsidR="00D91036" w:rsidRPr="00D91036" w:rsidTr="00D91036">
        <w:trPr>
          <w:tblCellSpacing w:w="15" w:type="dxa"/>
        </w:trPr>
        <w:tc>
          <w:tcPr>
            <w:tcW w:w="0" w:type="auto"/>
            <w:shd w:val="clear" w:color="auto" w:fill="FFFFFF"/>
            <w:tcMar>
              <w:top w:w="150" w:type="dxa"/>
              <w:left w:w="150" w:type="dxa"/>
              <w:bottom w:w="0" w:type="dxa"/>
              <w:right w:w="150" w:type="dxa"/>
            </w:tcMar>
            <w:vAlign w:val="center"/>
            <w:hideMark/>
          </w:tcPr>
          <w:p w:rsidR="00D91036" w:rsidRPr="00D91036" w:rsidRDefault="00D91036" w:rsidP="00D91036">
            <w:pPr>
              <w:jc w:val="both"/>
              <w:rPr>
                <w:rFonts w:eastAsia="Times New Roman"/>
                <w:color w:val="494A4A"/>
              </w:rPr>
            </w:pPr>
            <w:r w:rsidRPr="00D91036">
              <w:rPr>
                <w:rFonts w:eastAsia="Times New Roman"/>
                <w:color w:val="494A4A"/>
              </w:rPr>
              <w:t>a) Nhóm ưu tiên 1 (UT1) gồm các đối tượng:</w:t>
            </w:r>
          </w:p>
          <w:p w:rsidR="00D91036" w:rsidRPr="00D91036" w:rsidRDefault="00D91036" w:rsidP="00D91036">
            <w:pPr>
              <w:jc w:val="both"/>
              <w:rPr>
                <w:rFonts w:eastAsia="Times New Roman"/>
                <w:color w:val="494A4A"/>
              </w:rPr>
            </w:pPr>
            <w:r w:rsidRPr="00D91036">
              <w:rPr>
                <w:rFonts w:eastAsia="Times New Roman"/>
                <w:color w:val="494A4A"/>
              </w:rPr>
              <w:t>- Đối tượng 01: Công dân Việt Nam là người dân tộc thiểu số.</w:t>
            </w:r>
          </w:p>
          <w:p w:rsidR="00D91036" w:rsidRPr="00D91036" w:rsidRDefault="00D91036" w:rsidP="00D91036">
            <w:pPr>
              <w:jc w:val="both"/>
              <w:rPr>
                <w:rFonts w:eastAsia="Times New Roman"/>
                <w:color w:val="494A4A"/>
              </w:rPr>
            </w:pPr>
            <w:r w:rsidRPr="00D91036">
              <w:rPr>
                <w:rFonts w:eastAsia="Times New Roman"/>
                <w:color w:val="494A4A"/>
              </w:rPr>
              <w:t>- Đối tượng 02: Công nhân ưu tú trực tiếp sản xuất đã làm việc liên tục 5 năm trở lên trong đó có 2 năm trở lên là chiến sĩ thi đua được cấp tỉnh trở lên công nhận và cấp bằng khen.</w:t>
            </w:r>
          </w:p>
          <w:p w:rsidR="00D91036" w:rsidRPr="00D91036" w:rsidRDefault="00D91036" w:rsidP="00D91036">
            <w:pPr>
              <w:jc w:val="both"/>
              <w:rPr>
                <w:rFonts w:eastAsia="Times New Roman"/>
                <w:color w:val="494A4A"/>
              </w:rPr>
            </w:pPr>
            <w:r w:rsidRPr="00D91036">
              <w:rPr>
                <w:rFonts w:eastAsia="Times New Roman"/>
                <w:color w:val="494A4A"/>
              </w:rPr>
              <w:t>- Đối tượng 03:</w:t>
            </w:r>
          </w:p>
          <w:p w:rsidR="00D91036" w:rsidRPr="00D91036" w:rsidRDefault="00D91036" w:rsidP="00D91036">
            <w:pPr>
              <w:jc w:val="both"/>
              <w:rPr>
                <w:rFonts w:eastAsia="Times New Roman"/>
                <w:color w:val="494A4A"/>
              </w:rPr>
            </w:pPr>
            <w:r w:rsidRPr="00D91036">
              <w:rPr>
                <w:rFonts w:eastAsia="Times New Roman"/>
                <w:color w:val="494A4A"/>
              </w:rPr>
              <w:t>+ Thương binh, bệnh binh, người có thẻ chứng nhận được hưởng chính sách như thương binh;</w:t>
            </w:r>
          </w:p>
          <w:p w:rsidR="00D91036" w:rsidRPr="00D91036" w:rsidRDefault="00D91036" w:rsidP="00D91036">
            <w:pPr>
              <w:jc w:val="both"/>
              <w:rPr>
                <w:rFonts w:eastAsia="Times New Roman"/>
                <w:color w:val="494A4A"/>
              </w:rPr>
            </w:pPr>
            <w:r w:rsidRPr="00D91036">
              <w:rPr>
                <w:rFonts w:eastAsia="Times New Roman"/>
                <w:color w:val="494A4A"/>
              </w:rPr>
              <w:t>+ Quân nhân, công an nhân dân tại ngũ được cử đi học có thời gian phục vụ từ 12 tháng trở lên tại khu vực 1;</w:t>
            </w:r>
          </w:p>
          <w:p w:rsidR="00D91036" w:rsidRPr="00D91036" w:rsidRDefault="00D91036" w:rsidP="00D91036">
            <w:pPr>
              <w:jc w:val="both"/>
              <w:rPr>
                <w:rFonts w:eastAsia="Times New Roman"/>
                <w:color w:val="494A4A"/>
              </w:rPr>
            </w:pPr>
            <w:r w:rsidRPr="00D91036">
              <w:rPr>
                <w:rFonts w:eastAsia="Times New Roman"/>
                <w:color w:val="494A4A"/>
              </w:rPr>
              <w:t>+ Quân nhân, công an nhân dân tại ngũ được cử đi học có thời gian phục vụ từ 24 tháng trở lên;</w:t>
            </w:r>
            <w:bookmarkStart w:id="0" w:name="_GoBack"/>
            <w:bookmarkEnd w:id="0"/>
          </w:p>
          <w:p w:rsidR="00D91036" w:rsidRPr="00D91036" w:rsidRDefault="00D91036" w:rsidP="00D91036">
            <w:pPr>
              <w:jc w:val="both"/>
              <w:rPr>
                <w:rFonts w:eastAsia="Times New Roman"/>
                <w:color w:val="494A4A"/>
              </w:rPr>
            </w:pPr>
            <w:r w:rsidRPr="00D91036">
              <w:rPr>
                <w:rFonts w:eastAsia="Times New Roman"/>
                <w:color w:val="494A4A"/>
              </w:rPr>
              <w:t>+ Quân nhân, công an nhân dân hoàn thành nghĩa vụ đã xuất ngũ có thời gian phục vụ từ 24 tháng trở lên;</w:t>
            </w:r>
          </w:p>
          <w:p w:rsidR="00D91036" w:rsidRPr="00D91036" w:rsidRDefault="00D91036" w:rsidP="00D91036">
            <w:pPr>
              <w:jc w:val="both"/>
              <w:rPr>
                <w:rFonts w:eastAsia="Times New Roman"/>
                <w:color w:val="494A4A"/>
              </w:rPr>
            </w:pPr>
            <w:r w:rsidRPr="00D91036">
              <w:rPr>
                <w:rFonts w:eastAsia="Times New Roman"/>
                <w:color w:val="494A4A"/>
              </w:rPr>
              <w:t>- Đối tượng 04:</w:t>
            </w:r>
          </w:p>
          <w:p w:rsidR="00D91036" w:rsidRPr="00D91036" w:rsidRDefault="00D91036" w:rsidP="00D91036">
            <w:pPr>
              <w:jc w:val="both"/>
              <w:rPr>
                <w:rFonts w:eastAsia="Times New Roman"/>
                <w:color w:val="494A4A"/>
              </w:rPr>
            </w:pPr>
            <w:r w:rsidRPr="00D91036">
              <w:rPr>
                <w:rFonts w:eastAsia="Times New Roman"/>
                <w:color w:val="494A4A"/>
              </w:rPr>
              <w:t>+ Con liệt sĩ;</w:t>
            </w:r>
          </w:p>
          <w:p w:rsidR="00D91036" w:rsidRPr="00D91036" w:rsidRDefault="00D91036" w:rsidP="00D91036">
            <w:pPr>
              <w:jc w:val="both"/>
              <w:rPr>
                <w:rFonts w:eastAsia="Times New Roman"/>
                <w:color w:val="494A4A"/>
              </w:rPr>
            </w:pPr>
            <w:r w:rsidRPr="00D91036">
              <w:rPr>
                <w:rFonts w:eastAsia="Times New Roman"/>
                <w:color w:val="494A4A"/>
              </w:rPr>
              <w:t>+ Con thương binh mất sức lao động 81% trở lên;</w:t>
            </w:r>
          </w:p>
          <w:p w:rsidR="00D91036" w:rsidRPr="00D91036" w:rsidRDefault="00D91036" w:rsidP="00D91036">
            <w:pPr>
              <w:jc w:val="both"/>
              <w:rPr>
                <w:rFonts w:eastAsia="Times New Roman"/>
                <w:color w:val="494A4A"/>
              </w:rPr>
            </w:pPr>
            <w:r w:rsidRPr="00D91036">
              <w:rPr>
                <w:rFonts w:eastAsia="Times New Roman"/>
                <w:color w:val="494A4A"/>
              </w:rPr>
              <w:t>+ Con bệnh binh mất sức lao động 81% trở lên;</w:t>
            </w:r>
          </w:p>
          <w:p w:rsidR="00D91036" w:rsidRPr="00D91036" w:rsidRDefault="00D91036" w:rsidP="00D91036">
            <w:pPr>
              <w:jc w:val="both"/>
              <w:rPr>
                <w:rFonts w:eastAsia="Times New Roman"/>
                <w:color w:val="494A4A"/>
              </w:rPr>
            </w:pPr>
            <w:r w:rsidRPr="00D91036">
              <w:rPr>
                <w:rFonts w:eastAsia="Times New Roman"/>
                <w:color w:val="494A4A"/>
              </w:rPr>
              <w:t>+ Con của người có thẻ chứng nhận được hưởng chính sách như thương binh mất sức lao động 81% trở lên;</w:t>
            </w:r>
          </w:p>
          <w:p w:rsidR="00D91036" w:rsidRPr="00D91036" w:rsidRDefault="00D91036" w:rsidP="00D91036">
            <w:pPr>
              <w:jc w:val="both"/>
              <w:rPr>
                <w:rFonts w:eastAsia="Times New Roman"/>
                <w:color w:val="494A4A"/>
              </w:rPr>
            </w:pPr>
            <w:r w:rsidRPr="00D91036">
              <w:rPr>
                <w:rFonts w:eastAsia="Times New Roman"/>
                <w:color w:val="494A4A"/>
              </w:rPr>
              <w:t>+ Con của Bà mẹ Việt Nam anh hùng, con của Anh hùng lực lượng vũ trang, con của Anh hùng lao động.</w:t>
            </w:r>
          </w:p>
          <w:p w:rsidR="00D91036" w:rsidRPr="00D91036" w:rsidRDefault="00D91036" w:rsidP="00D91036">
            <w:pPr>
              <w:jc w:val="both"/>
              <w:rPr>
                <w:rFonts w:eastAsia="Times New Roman"/>
                <w:color w:val="494A4A"/>
              </w:rPr>
            </w:pPr>
            <w:r w:rsidRPr="00D91036">
              <w:rPr>
                <w:rFonts w:eastAsia="Times New Roman"/>
                <w:color w:val="494A4A"/>
              </w:rPr>
              <w:t>b) Nhóm ưu tiên 2 (UT2) gồm các đối tượng:</w:t>
            </w:r>
          </w:p>
          <w:p w:rsidR="00D91036" w:rsidRPr="00D91036" w:rsidRDefault="00D91036" w:rsidP="00D91036">
            <w:pPr>
              <w:jc w:val="both"/>
              <w:rPr>
                <w:rFonts w:eastAsia="Times New Roman"/>
                <w:color w:val="494A4A"/>
              </w:rPr>
            </w:pPr>
            <w:r w:rsidRPr="00D91036">
              <w:rPr>
                <w:rFonts w:eastAsia="Times New Roman"/>
                <w:color w:val="494A4A"/>
              </w:rPr>
              <w:t>- Đối tượng 05:</w:t>
            </w:r>
          </w:p>
          <w:p w:rsidR="00D91036" w:rsidRPr="00D91036" w:rsidRDefault="00D91036" w:rsidP="00D91036">
            <w:pPr>
              <w:jc w:val="both"/>
              <w:rPr>
                <w:rFonts w:eastAsia="Times New Roman"/>
                <w:color w:val="494A4A"/>
              </w:rPr>
            </w:pPr>
            <w:r w:rsidRPr="00D91036">
              <w:rPr>
                <w:rFonts w:eastAsia="Times New Roman"/>
                <w:color w:val="494A4A"/>
              </w:rPr>
              <w:t>+ Thanh niên xung phong tập trung được cử đi học;</w:t>
            </w:r>
          </w:p>
          <w:p w:rsidR="00D91036" w:rsidRPr="00D91036" w:rsidRDefault="00D91036" w:rsidP="00D91036">
            <w:pPr>
              <w:jc w:val="both"/>
              <w:rPr>
                <w:rFonts w:eastAsia="Times New Roman"/>
                <w:color w:val="494A4A"/>
              </w:rPr>
            </w:pPr>
            <w:r w:rsidRPr="00D91036">
              <w:rPr>
                <w:rFonts w:eastAsia="Times New Roman"/>
                <w:color w:val="494A4A"/>
              </w:rPr>
              <w:t>+ Quân nhân, công an nhân dân tại ngũ được cử đi học có thời gian phục vụ dưới 24 tháng không ở khu vực 1;</w:t>
            </w:r>
          </w:p>
          <w:p w:rsidR="00D91036" w:rsidRPr="00D91036" w:rsidRDefault="00D91036" w:rsidP="00D91036">
            <w:pPr>
              <w:jc w:val="both"/>
              <w:rPr>
                <w:rFonts w:eastAsia="Times New Roman"/>
                <w:color w:val="494A4A"/>
              </w:rPr>
            </w:pPr>
            <w:r w:rsidRPr="00D91036">
              <w:rPr>
                <w:rFonts w:eastAsia="Times New Roman"/>
                <w:color w:val="494A4A"/>
              </w:rPr>
              <w:t>- Đối tượng 06:</w:t>
            </w:r>
          </w:p>
          <w:p w:rsidR="00D91036" w:rsidRPr="00D91036" w:rsidRDefault="00D91036" w:rsidP="00D91036">
            <w:pPr>
              <w:jc w:val="both"/>
              <w:rPr>
                <w:rFonts w:eastAsia="Times New Roman"/>
                <w:color w:val="494A4A"/>
              </w:rPr>
            </w:pPr>
            <w:r w:rsidRPr="00D91036">
              <w:rPr>
                <w:rFonts w:eastAsia="Times New Roman"/>
                <w:color w:val="494A4A"/>
              </w:rPr>
              <w:t>+ Con thương binh mất sức lao động dưới 81%;</w:t>
            </w:r>
          </w:p>
          <w:p w:rsidR="00D91036" w:rsidRPr="00D91036" w:rsidRDefault="00D91036" w:rsidP="00D91036">
            <w:pPr>
              <w:jc w:val="both"/>
              <w:rPr>
                <w:rFonts w:eastAsia="Times New Roman"/>
                <w:color w:val="494A4A"/>
              </w:rPr>
            </w:pPr>
            <w:r w:rsidRPr="00D91036">
              <w:rPr>
                <w:rFonts w:eastAsia="Times New Roman"/>
                <w:color w:val="494A4A"/>
              </w:rPr>
              <w:t>+ Con bệnh binh mất sức lao động dưới 81%;</w:t>
            </w:r>
          </w:p>
          <w:p w:rsidR="00D91036" w:rsidRPr="00D91036" w:rsidRDefault="00D91036" w:rsidP="00D91036">
            <w:pPr>
              <w:jc w:val="both"/>
              <w:rPr>
                <w:rFonts w:eastAsia="Times New Roman"/>
                <w:color w:val="494A4A"/>
              </w:rPr>
            </w:pPr>
            <w:r w:rsidRPr="00D91036">
              <w:rPr>
                <w:rFonts w:eastAsia="Times New Roman"/>
                <w:color w:val="494A4A"/>
              </w:rPr>
              <w:t>+ Con của người có thẻ chứng nhận được hưởng chính sách như thương binh mất sức lao động dưới 81%.</w:t>
            </w:r>
          </w:p>
          <w:p w:rsidR="00D91036" w:rsidRPr="00D91036" w:rsidRDefault="00D91036" w:rsidP="00D91036">
            <w:pPr>
              <w:jc w:val="both"/>
              <w:rPr>
                <w:rFonts w:eastAsia="Times New Roman"/>
                <w:color w:val="494A4A"/>
              </w:rPr>
            </w:pPr>
            <w:r w:rsidRPr="00D91036">
              <w:rPr>
                <w:rFonts w:eastAsia="Times New Roman"/>
                <w:color w:val="494A4A"/>
              </w:rPr>
              <w:t>- Đối tượng 07:</w:t>
            </w:r>
          </w:p>
          <w:p w:rsidR="00D91036" w:rsidRPr="00D91036" w:rsidRDefault="00D91036" w:rsidP="00D91036">
            <w:pPr>
              <w:jc w:val="both"/>
              <w:rPr>
                <w:rFonts w:eastAsia="Times New Roman"/>
                <w:color w:val="494A4A"/>
              </w:rPr>
            </w:pPr>
            <w:r w:rsidRPr="00D91036">
              <w:rPr>
                <w:rFonts w:eastAsia="Times New Roman"/>
                <w:color w:val="494A4A"/>
              </w:rPr>
              <w:t>+ Người lao động ưu tú thuộc tất cả các thành phần kinh tế được từ cấp tỉnh, thành phố, Bộ trở lên công nhận danh hiệu thợ giỏi, nghệ nhân, được cấp bằng và huy hiệu Lao động sáng tạo của Tổng Liên đoàn Lao động Việt Nam hoặc Trung ương Đoàn TNCS Hồ Chí Minh;</w:t>
            </w:r>
          </w:p>
          <w:p w:rsidR="00D91036" w:rsidRPr="00D91036" w:rsidRDefault="00D91036" w:rsidP="00D91036">
            <w:pPr>
              <w:jc w:val="both"/>
              <w:rPr>
                <w:rFonts w:eastAsia="Times New Roman"/>
                <w:color w:val="494A4A"/>
              </w:rPr>
            </w:pPr>
            <w:r w:rsidRPr="00D91036">
              <w:rPr>
                <w:rFonts w:eastAsia="Times New Roman"/>
                <w:color w:val="494A4A"/>
              </w:rPr>
              <w:t>+ Giáo viên đã giảng dạy đủ 3 năm trở lên thi vào các ngành sư phạm;</w:t>
            </w:r>
          </w:p>
          <w:p w:rsidR="00D91036" w:rsidRPr="00D91036" w:rsidRDefault="00D91036" w:rsidP="00D91036">
            <w:pPr>
              <w:jc w:val="both"/>
              <w:rPr>
                <w:rFonts w:eastAsia="Times New Roman"/>
                <w:color w:val="494A4A"/>
              </w:rPr>
            </w:pPr>
            <w:r w:rsidRPr="00D91036">
              <w:rPr>
                <w:rFonts w:eastAsia="Times New Roman"/>
                <w:color w:val="494A4A"/>
              </w:rPr>
              <w:t>+ Y tá, dược tá, hộ lý, kỹ thuật viên, y sĩ, dược sĩ trung cấp đã công tác đủ 3 năm trở lên thi vào các ngành y, dược.</w:t>
            </w:r>
          </w:p>
          <w:p w:rsidR="00D91036" w:rsidRPr="00D91036" w:rsidRDefault="00D91036" w:rsidP="00D91036">
            <w:pPr>
              <w:jc w:val="both"/>
              <w:rPr>
                <w:rFonts w:eastAsia="Times New Roman"/>
                <w:color w:val="494A4A"/>
              </w:rPr>
            </w:pPr>
            <w:r w:rsidRPr="00D91036">
              <w:rPr>
                <w:rFonts w:eastAsia="Times New Roman"/>
                <w:color w:val="494A4A"/>
              </w:rPr>
              <w:t>Thời hạn tối đa được hưởng ưu tiên đối với quân nhân, công an phục viên, xuất ngũ, chuyển ngành dự thi là 18 tháng kể từ ngày ký quyết định xuất ngũ đến ngày dự thi.</w:t>
            </w:r>
          </w:p>
        </w:tc>
      </w:tr>
    </w:tbl>
    <w:p w:rsidR="002A2D6E" w:rsidRPr="00D91036" w:rsidRDefault="002A2D6E" w:rsidP="00D91036"/>
    <w:sectPr w:rsidR="002A2D6E" w:rsidRPr="00D91036" w:rsidSect="00D91036">
      <w:pgSz w:w="12240" w:h="15840"/>
      <w:pgMar w:top="709"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0DBD"/>
    <w:multiLevelType w:val="multilevel"/>
    <w:tmpl w:val="7298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278E1"/>
    <w:multiLevelType w:val="multilevel"/>
    <w:tmpl w:val="2798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63254"/>
    <w:multiLevelType w:val="multilevel"/>
    <w:tmpl w:val="DEDA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570437"/>
    <w:multiLevelType w:val="multilevel"/>
    <w:tmpl w:val="CF9C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9E4DAC"/>
    <w:multiLevelType w:val="multilevel"/>
    <w:tmpl w:val="0004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80"/>
    <w:rsid w:val="002A2D6E"/>
    <w:rsid w:val="00A04580"/>
    <w:rsid w:val="00D9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4580"/>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A04580"/>
    <w:rPr>
      <w:i/>
      <w:iCs/>
    </w:rPr>
  </w:style>
  <w:style w:type="character" w:styleId="Strong">
    <w:name w:val="Strong"/>
    <w:basedOn w:val="DefaultParagraphFont"/>
    <w:uiPriority w:val="22"/>
    <w:qFormat/>
    <w:rsid w:val="00D91036"/>
    <w:rPr>
      <w:b/>
      <w:bCs/>
    </w:rPr>
  </w:style>
  <w:style w:type="paragraph" w:styleId="BalloonText">
    <w:name w:val="Balloon Text"/>
    <w:basedOn w:val="Normal"/>
    <w:link w:val="BalloonTextChar"/>
    <w:uiPriority w:val="99"/>
    <w:semiHidden/>
    <w:unhideWhenUsed/>
    <w:rsid w:val="00D91036"/>
    <w:rPr>
      <w:rFonts w:ascii="Tahoma" w:hAnsi="Tahoma" w:cs="Tahoma"/>
      <w:sz w:val="16"/>
      <w:szCs w:val="16"/>
    </w:rPr>
  </w:style>
  <w:style w:type="character" w:customStyle="1" w:styleId="BalloonTextChar">
    <w:name w:val="Balloon Text Char"/>
    <w:basedOn w:val="DefaultParagraphFont"/>
    <w:link w:val="BalloonText"/>
    <w:uiPriority w:val="99"/>
    <w:semiHidden/>
    <w:rsid w:val="00D910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4580"/>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A04580"/>
    <w:rPr>
      <w:i/>
      <w:iCs/>
    </w:rPr>
  </w:style>
  <w:style w:type="character" w:styleId="Strong">
    <w:name w:val="Strong"/>
    <w:basedOn w:val="DefaultParagraphFont"/>
    <w:uiPriority w:val="22"/>
    <w:qFormat/>
    <w:rsid w:val="00D91036"/>
    <w:rPr>
      <w:b/>
      <w:bCs/>
    </w:rPr>
  </w:style>
  <w:style w:type="paragraph" w:styleId="BalloonText">
    <w:name w:val="Balloon Text"/>
    <w:basedOn w:val="Normal"/>
    <w:link w:val="BalloonTextChar"/>
    <w:uiPriority w:val="99"/>
    <w:semiHidden/>
    <w:unhideWhenUsed/>
    <w:rsid w:val="00D91036"/>
    <w:rPr>
      <w:rFonts w:ascii="Tahoma" w:hAnsi="Tahoma" w:cs="Tahoma"/>
      <w:sz w:val="16"/>
      <w:szCs w:val="16"/>
    </w:rPr>
  </w:style>
  <w:style w:type="character" w:customStyle="1" w:styleId="BalloonTextChar">
    <w:name w:val="Balloon Text Char"/>
    <w:basedOn w:val="DefaultParagraphFont"/>
    <w:link w:val="BalloonText"/>
    <w:uiPriority w:val="99"/>
    <w:semiHidden/>
    <w:rsid w:val="00D910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041858">
      <w:bodyDiv w:val="1"/>
      <w:marLeft w:val="0"/>
      <w:marRight w:val="0"/>
      <w:marTop w:val="0"/>
      <w:marBottom w:val="0"/>
      <w:divBdr>
        <w:top w:val="none" w:sz="0" w:space="0" w:color="auto"/>
        <w:left w:val="none" w:sz="0" w:space="0" w:color="auto"/>
        <w:bottom w:val="none" w:sz="0" w:space="0" w:color="auto"/>
        <w:right w:val="none" w:sz="0" w:space="0" w:color="auto"/>
      </w:divBdr>
    </w:div>
    <w:div w:id="143466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2019-04-04T08:52:00Z</dcterms:created>
  <dcterms:modified xsi:type="dcterms:W3CDTF">2019-04-04T08:52:00Z</dcterms:modified>
</cp:coreProperties>
</file>